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36"/>
          <w:szCs w:val="36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36"/>
          <w:szCs w:val="36"/>
          <w:rtl w:val="0"/>
          <w:lang w:val="ru-RU"/>
        </w:rPr>
        <w:t>Политика в отношении обработки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Политика Торгов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ой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компани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«Буратино»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далее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Торговая компания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 отношении обработки персональных данных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далее – Политика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 w:hint="default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>ОБЩИЕ ПОЛОЖЕНИЯ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Действие Политики распространяется на все персональные данные субъектов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обрабатываемые Торговой компанией с применением средств автоматизации и без применения таких средств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Политика является общедоступным документом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устанавливающим основы деятельности Торговой компании при обработке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  <w:lang w:val="ru-RU"/>
        </w:rPr>
        <w:t>2</w:t>
      </w: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>ОПРЕДЕЛЕНИЯ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Персональные данные – любая информация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 xml:space="preserve">относящаяся к прямо или косвенно определенному или определяемому физическому лицу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субъекту персональных данных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),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предоставленная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 xml:space="preserve">в том числе при регистрации на сайте Оператора в сети «Интернет» по адресу </w:t>
      </w:r>
      <w:r>
        <w:rPr>
          <w:rFonts w:ascii="Helvetica Neue" w:hAnsi="Helvetica Neue"/>
          <w:color w:val="454545"/>
          <w:sz w:val="24"/>
          <w:szCs w:val="24"/>
          <w:u w:val="single" w:color="454545"/>
          <w:rtl w:val="0"/>
          <w:lang w:val="en-US"/>
        </w:rPr>
        <w:t>https://www.</w:t>
      </w:r>
      <w:r>
        <w:rPr>
          <w:rFonts w:ascii="Helvetica Neue" w:hAnsi="Helvetica Neue" w:hint="default"/>
          <w:color w:val="454545"/>
          <w:sz w:val="24"/>
          <w:szCs w:val="24"/>
          <w:u w:val="single" w:color="454545"/>
          <w:rtl w:val="0"/>
          <w:lang w:val="ru-RU"/>
        </w:rPr>
        <w:t>буратино</w:t>
      </w:r>
      <w:r>
        <w:rPr>
          <w:rFonts w:ascii="Helvetica Neue" w:hAnsi="Helvetica Neue"/>
          <w:color w:val="454545"/>
          <w:sz w:val="24"/>
          <w:szCs w:val="24"/>
          <w:u w:val="single" w:color="454545"/>
          <w:rtl w:val="0"/>
        </w:rPr>
        <w:t>45.</w:t>
      </w:r>
      <w:r>
        <w:rPr>
          <w:rFonts w:ascii="Helvetica Neue" w:hAnsi="Helvetica Neue" w:hint="default"/>
          <w:color w:val="454545"/>
          <w:sz w:val="24"/>
          <w:szCs w:val="24"/>
          <w:u w:val="single" w:color="454545"/>
          <w:rtl w:val="0"/>
        </w:rPr>
        <w:t>рф</w:t>
      </w:r>
      <w:r>
        <w:rPr>
          <w:rFonts w:ascii="Helvetica Neue" w:hAnsi="Helvetica Neue"/>
          <w:color w:val="454545"/>
          <w:sz w:val="24"/>
          <w:szCs w:val="24"/>
          <w:u w:val="single" w:color="454545"/>
          <w:rtl w:val="0"/>
        </w:rPr>
        <w:t>/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 (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далее «Сайт»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и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/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или оформлении Заказа на Сайте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в форме онлайн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чата на Сайте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в форме обратной связи с Оператором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при обращении в Единую справочно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информационную службу Оператора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в форме подписки на новости на Сайте Оператора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 xml:space="preserve">Обработка персональных данных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 xml:space="preserve">любое действие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операция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 xml:space="preserve">или совокупность действий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операций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),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включая сбор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запись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систематизацию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накопление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хранение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 xml:space="preserve">уточнение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обновление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изменение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),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извлечение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использование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 xml:space="preserve">передачу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распространение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предоставление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доступ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),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обезличивание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блокирование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удаление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уничтожение персональных данных на срок по достижении целей обработки или до утраты необходимости в достижении этих целей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если иное не предусмотрено федеральным законом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в целях предоставления информации о товарах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/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услугах и условиях их приобретения у Оператора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о статусе исполнения Заказа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направления рекламных сообщений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в т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ч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о проводимых мероприятиях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акциях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специальных предложениях в сети магазинов «Буратино» на территории Российской Федерация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для исполнения договора купли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продажи товаров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предоставление клиентской поддержки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в частности посредством обмена короткими текстовыми сообщениями в режиме онлайн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диалога в форме онлайн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</w:rPr>
        <w:t>чата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, SMS-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сообщениями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сообщениями по электронной почте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обеспечения функционирования обратного звонка при обращении в Единую справочно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информационную службу Оператора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  <w:lang w:val="ru-RU"/>
        </w:rPr>
        <w:t>3</w:t>
      </w: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>ОСНОВНЫЕ УСЛОВИЯ ОБРАБОТКИ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Обработка и обеспечение безопасности персональных данных осуществляется Торговой компанией в соответствии с требованиями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Федерального закона № </w:t>
      </w:r>
      <w:r>
        <w:rPr>
          <w:rFonts w:ascii="Helvetica Neue" w:hAnsi="Helvetica Neue"/>
          <w:color w:val="454545"/>
          <w:sz w:val="24"/>
          <w:szCs w:val="24"/>
          <w:rtl w:val="0"/>
        </w:rPr>
        <w:t>152-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ФЗ «О персональных данных»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иных нормативных актов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определяющих случаи и особенности обработки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4.</w:t>
        <w:tab/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настоящей Политики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5.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Торговая компания вправе поручить обработку персональных данных другому лицу с согласия субъекта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иное не предусмотрено федеральным законом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основании заключаемого с этим лицом договора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6.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случаях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установленных законодательством Российской Федерации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Торговая компания вправе осуществлять передачу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  <w:lang w:val="ru-RU"/>
        </w:rPr>
        <w:t>4</w:t>
      </w: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>ПРАВА СУБЪЕКТА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Субъект персональных имеет право на получение информации об обработке его персональных данных Торговой компанией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Субъект персональных данных вправе требовать от Торговой компании уточнения обрабатываемых  персональных данных субъекта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их блокирования или уничтожения в случае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персональные данные являются неполными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устаревшими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неточными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также принимать предусмотренные законом меры по защите своих прав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Для реализации своих прав и защиты законных интересов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субъект персональных данных имеет право обратиться к Торговой компании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Торговая компания рассматривает обращения и жалобы со стороны субъектов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принимает все необходимые меры для немедленного устранения любых нарушений прав субъектов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наказания виновных лиц и урегулирования спорных и конфликтных ситуаций в досудебном порядке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  <w:lang w:val="ru-RU"/>
        </w:rPr>
        <w:t>5</w:t>
      </w: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>МЕРЫ ЗАЩИТЫ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Торговая компания при обработке персональных данных принимает все необходимые меры для защиты персональных данных от неправомерного или случайного доступа к ним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уничтожения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изменения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блокирования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копирования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предоставления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распространения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также от иных неправомерных действий в отношении персональных данных в соответствии с требованиями действующего законодательства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том числе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законодательства о персональных данных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  <w:lang w:val="ru-RU"/>
        </w:rPr>
        <w:t>6</w:t>
      </w: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 xml:space="preserve">ИНФОРМАЦИЯ </w:t>
      </w: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Торговая компания «Буратино»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ИП Винничек 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Б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i w:val="1"/>
          <w:iCs w:val="1"/>
          <w:color w:val="454545"/>
          <w:sz w:val="24"/>
          <w:szCs w:val="24"/>
          <w:rtl w:val="0"/>
          <w:lang w:val="ru-RU"/>
        </w:rPr>
        <w:t>Юр</w:t>
      </w:r>
      <w:r>
        <w:rPr>
          <w:rFonts w:ascii="Helvetica Neue" w:hAnsi="Helvetica Neue"/>
          <w:b w:val="1"/>
          <w:bCs w:val="1"/>
          <w:i w:val="1"/>
          <w:iCs w:val="1"/>
          <w:color w:val="454545"/>
          <w:sz w:val="24"/>
          <w:szCs w:val="24"/>
          <w:rtl w:val="0"/>
        </w:rPr>
        <w:t>.</w:t>
      </w:r>
      <w:r>
        <w:rPr>
          <w:rFonts w:ascii="Helvetica Neue" w:hAnsi="Helvetica Neue" w:hint="default"/>
          <w:b w:val="1"/>
          <w:bCs w:val="1"/>
          <w:i w:val="1"/>
          <w:iCs w:val="1"/>
          <w:color w:val="454545"/>
          <w:sz w:val="24"/>
          <w:szCs w:val="24"/>
          <w:rtl w:val="0"/>
        </w:rPr>
        <w:t>адрес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 xml:space="preserve">640004,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Курган ул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Садовая </w:t>
      </w:r>
      <w:r>
        <w:rPr>
          <w:rFonts w:ascii="Helvetica Neue" w:hAnsi="Helvetica Neue"/>
          <w:color w:val="454545"/>
          <w:sz w:val="24"/>
          <w:szCs w:val="24"/>
          <w:rtl w:val="0"/>
        </w:rPr>
        <w:t>10-52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i w:val="1"/>
          <w:iCs w:val="1"/>
          <w:color w:val="454545"/>
          <w:sz w:val="24"/>
          <w:szCs w:val="24"/>
          <w:rtl w:val="0"/>
          <w:lang w:val="ru-RU"/>
        </w:rPr>
        <w:t>Факт</w:t>
      </w:r>
      <w:r>
        <w:rPr>
          <w:rFonts w:ascii="Helvetica Neue" w:hAnsi="Helvetica Neue"/>
          <w:b w:val="1"/>
          <w:bCs w:val="1"/>
          <w:i w:val="1"/>
          <w:iCs w:val="1"/>
          <w:color w:val="454545"/>
          <w:sz w:val="24"/>
          <w:szCs w:val="24"/>
          <w:rtl w:val="0"/>
        </w:rPr>
        <w:t>.</w:t>
      </w:r>
      <w:r>
        <w:rPr>
          <w:rFonts w:ascii="Helvetica Neue" w:hAnsi="Helvetica Neue" w:hint="default"/>
          <w:b w:val="1"/>
          <w:bCs w:val="1"/>
          <w:i w:val="1"/>
          <w:iCs w:val="1"/>
          <w:color w:val="454545"/>
          <w:sz w:val="24"/>
          <w:szCs w:val="24"/>
          <w:rtl w:val="0"/>
        </w:rPr>
        <w:t>адрес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 xml:space="preserve">640007,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Курган ул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Омская</w:t>
      </w:r>
      <w:r>
        <w:rPr>
          <w:rFonts w:ascii="Helvetica Neue" w:hAnsi="Helvetica Neue"/>
          <w:color w:val="454545"/>
          <w:sz w:val="24"/>
          <w:szCs w:val="24"/>
          <w:rtl w:val="0"/>
        </w:rPr>
        <w:t>,82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 w:hint="default"/>
          <w:b w:val="1"/>
          <w:bCs w:val="1"/>
          <w:i w:val="1"/>
          <w:iCs w:val="1"/>
          <w:color w:val="454545"/>
          <w:sz w:val="24"/>
          <w:szCs w:val="24"/>
          <w:rtl w:val="0"/>
          <w:lang w:val="ru-RU"/>
        </w:rPr>
        <w:t>Телефоны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63-00-23, 63-00-24 (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</w:t>
      </w:r>
      <w:r>
        <w:rPr>
          <w:rFonts w:ascii="Helvetica Neue" w:hAnsi="Helvetica Neue"/>
          <w:color w:val="454545"/>
          <w:sz w:val="24"/>
          <w:szCs w:val="24"/>
          <w:rtl w:val="0"/>
        </w:rPr>
        <w:t>/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ф</w:t>
      </w:r>
      <w:r>
        <w:rPr>
          <w:rFonts w:ascii="Helvetica Neue" w:hAnsi="Helvetica Neue"/>
          <w:color w:val="454545"/>
          <w:sz w:val="24"/>
          <w:szCs w:val="24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